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附件1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湛江市建设工程材料设备询价单位数据库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询价单位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入库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量化归档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评分表</w:t>
      </w:r>
    </w:p>
    <w:p>
      <w:pPr>
        <w:pStyle w:val="2"/>
        <w:rPr>
          <w:rFonts w:hint="eastAsia"/>
        </w:rPr>
      </w:pPr>
    </w:p>
    <w:tbl>
      <w:tblPr>
        <w:tblStyle w:val="4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09"/>
        <w:gridCol w:w="1276"/>
        <w:gridCol w:w="992"/>
        <w:gridCol w:w="4539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材料类别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申报品牌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生产厂家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内容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评审内容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分值</w:t>
            </w:r>
          </w:p>
        </w:tc>
        <w:tc>
          <w:tcPr>
            <w:tcW w:w="45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评审标准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基础分值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（部分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可量化）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共60分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1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基本资料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453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本项为必须的申报资料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包括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入库申请书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单位委托书</w:t>
            </w:r>
            <w:r>
              <w:rPr>
                <w:rFonts w:hint="eastAsia" w:ascii="宋体" w:hAnsi="宋体"/>
                <w:sz w:val="24"/>
              </w:rPr>
              <w:t>、承诺书、</w:t>
            </w:r>
            <w:r>
              <w:rPr>
                <w:rFonts w:ascii="宋体" w:hAnsi="宋体"/>
                <w:sz w:val="24"/>
              </w:rPr>
              <w:t>营业执照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生产许可证或产品检测报告</w:t>
            </w:r>
            <w:r>
              <w:rPr>
                <w:rFonts w:hint="eastAsia" w:ascii="宋体" w:hAnsi="宋体"/>
                <w:sz w:val="24"/>
              </w:rPr>
              <w:t>、产品报价及折购率。</w:t>
            </w:r>
          </w:p>
        </w:tc>
        <w:tc>
          <w:tcPr>
            <w:tcW w:w="989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2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注册资金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453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注册资金</w:t>
            </w:r>
            <w:r>
              <w:rPr>
                <w:rFonts w:hint="eastAsia" w:ascii="宋体" w:hAnsi="宋体"/>
                <w:sz w:val="24"/>
              </w:rPr>
              <w:t>5000万以上得5分，1000-4999万得3分，1000万以下得2分。</w:t>
            </w:r>
          </w:p>
        </w:tc>
        <w:tc>
          <w:tcPr>
            <w:tcW w:w="989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3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业绩证明</w:t>
            </w:r>
          </w:p>
        </w:tc>
        <w:tc>
          <w:tcPr>
            <w:tcW w:w="99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453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有业绩合同者每份得</w:t>
            </w:r>
            <w:r>
              <w:rPr>
                <w:rFonts w:hint="eastAsia" w:ascii="宋体" w:hAnsi="宋体"/>
                <w:sz w:val="24"/>
              </w:rPr>
              <w:t>2分，最高得10分。</w:t>
            </w:r>
          </w:p>
        </w:tc>
        <w:tc>
          <w:tcPr>
            <w:tcW w:w="989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4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工厂实力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453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提供工厂照片得</w:t>
            </w:r>
            <w:r>
              <w:rPr>
                <w:rFonts w:hint="eastAsia" w:ascii="宋体" w:hAnsi="宋体"/>
                <w:sz w:val="24"/>
              </w:rPr>
              <w:t>2分，提供产品获奖证明得2分，提供专利证明得2分、提供其它名优产品或著名商标等得2分，本项最高分值为5分。</w:t>
            </w:r>
          </w:p>
        </w:tc>
        <w:tc>
          <w:tcPr>
            <w:tcW w:w="989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品牌综合评估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</w:rPr>
              <w:t>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1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广东省内行业入库案例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6</w:t>
            </w:r>
          </w:p>
        </w:tc>
        <w:tc>
          <w:tcPr>
            <w:tcW w:w="4539" w:type="dxa"/>
            <w:vAlign w:val="center"/>
          </w:tcPr>
          <w:p>
            <w:pPr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有省代建局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、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广州重点办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、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广州市协会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、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深圳工务署或省内其它政府建筑管理机构品牌入库案例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或大型房地产入围供应商品牌库均可，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每个得2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分，最高得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6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分。</w:t>
            </w:r>
          </w:p>
        </w:tc>
        <w:tc>
          <w:tcPr>
            <w:tcW w:w="989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2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大型市政项目合作案例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9</w:t>
            </w:r>
          </w:p>
        </w:tc>
        <w:tc>
          <w:tcPr>
            <w:tcW w:w="4539" w:type="dxa"/>
            <w:vAlign w:val="center"/>
          </w:tcPr>
          <w:p>
            <w:pPr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由初</w:t>
            </w:r>
            <w:r>
              <w:rPr>
                <w:rFonts w:hint="eastAsia" w:ascii="宋体" w:hAnsi="宋体"/>
                <w:color w:val="auto"/>
                <w:sz w:val="24"/>
              </w:rPr>
              <w:t>审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小组调取省内大型市政建筑项目入选品牌做比对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，或根据入库提供的业绩合同案例综合审定，每个得3分，最高得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9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分。</w:t>
            </w:r>
          </w:p>
        </w:tc>
        <w:tc>
          <w:tcPr>
            <w:tcW w:w="989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报价评估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</w:rPr>
              <w:t>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1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入库报价及折购率评分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2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5</w:t>
            </w:r>
          </w:p>
        </w:tc>
        <w:tc>
          <w:tcPr>
            <w:tcW w:w="4539" w:type="dxa"/>
            <w:vAlign w:val="center"/>
          </w:tcPr>
          <w:p>
            <w:pPr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由初</w:t>
            </w:r>
            <w:r>
              <w:rPr>
                <w:rFonts w:hint="eastAsia" w:ascii="宋体" w:hAnsi="宋体"/>
                <w:color w:val="auto"/>
                <w:sz w:val="24"/>
              </w:rPr>
              <w:t>审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小组根据每类产品的项目询价作为测算基础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，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在这基础上对入库报价进行综合评分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，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最低为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10分，最高为2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5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分。</w:t>
            </w:r>
          </w:p>
        </w:tc>
        <w:tc>
          <w:tcPr>
            <w:tcW w:w="989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32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综合得分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 w:cstheme="majorEastAsia"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</w:rPr>
        <w:t>备注：</w:t>
      </w: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 w:cstheme="majorEastAsia"/>
          <w:bCs/>
          <w:sz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sz w:val="24"/>
        </w:rPr>
        <w:t>1</w:t>
      </w:r>
      <w:r>
        <w:rPr>
          <w:rFonts w:hint="eastAsia" w:asciiTheme="majorEastAsia" w:hAnsiTheme="majorEastAsia" w:eastAsiaTheme="majorEastAsia" w:cstheme="majorEastAsia"/>
          <w:bCs/>
          <w:sz w:val="24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Cs/>
          <w:sz w:val="24"/>
        </w:rPr>
        <w:t>以上初审工作归档评分主要目标为归类B档和C档，部分进口产品或高内高端产品可一并拟定为A类，但需</w:t>
      </w:r>
      <w:r>
        <w:rPr>
          <w:rFonts w:hint="eastAsia" w:asciiTheme="majorEastAsia" w:hAnsiTheme="majorEastAsia" w:eastAsiaTheme="majorEastAsia" w:cstheme="majorEastAsia"/>
          <w:bCs/>
          <w:sz w:val="24"/>
          <w:lang w:eastAsia="zh-CN"/>
        </w:rPr>
        <w:t>经</w:t>
      </w:r>
      <w:r>
        <w:rPr>
          <w:rFonts w:hint="eastAsia" w:asciiTheme="majorEastAsia" w:hAnsiTheme="majorEastAsia" w:eastAsiaTheme="majorEastAsia" w:cstheme="majorEastAsia"/>
          <w:bCs/>
          <w:sz w:val="24"/>
          <w:u w:val="none"/>
          <w:lang w:eastAsia="zh-CN"/>
        </w:rPr>
        <w:t>管理小组</w:t>
      </w:r>
      <w:r>
        <w:rPr>
          <w:rFonts w:hint="eastAsia" w:asciiTheme="majorEastAsia" w:hAnsiTheme="majorEastAsia" w:eastAsiaTheme="majorEastAsia" w:cstheme="majorEastAsia"/>
          <w:bCs/>
          <w:sz w:val="24"/>
        </w:rPr>
        <w:t>审</w:t>
      </w:r>
      <w:r>
        <w:rPr>
          <w:rFonts w:hint="eastAsia" w:asciiTheme="majorEastAsia" w:hAnsiTheme="majorEastAsia" w:eastAsiaTheme="majorEastAsia" w:cstheme="majorEastAsia"/>
          <w:bCs/>
          <w:sz w:val="24"/>
          <w:lang w:eastAsia="zh-CN"/>
        </w:rPr>
        <w:t>查</w:t>
      </w:r>
      <w:r>
        <w:rPr>
          <w:rFonts w:hint="eastAsia" w:asciiTheme="majorEastAsia" w:hAnsiTheme="majorEastAsia" w:eastAsiaTheme="majorEastAsia" w:cstheme="majorEastAsia"/>
          <w:bCs/>
          <w:sz w:val="24"/>
        </w:rPr>
        <w:t>确定。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Theme="majorEastAsia" w:hAnsiTheme="majorEastAsia" w:eastAsiaTheme="majorEastAsia" w:cstheme="majorEastAsia"/>
          <w:bCs/>
          <w:color w:val="333333"/>
          <w:sz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hd w:val="clear" w:color="auto" w:fill="FFFFFF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bCs/>
          <w:sz w:val="24"/>
          <w:shd w:val="clear" w:color="auto" w:fill="FFFFFF"/>
        </w:rPr>
        <w:t>每三级分类产品共同汇总为一份评分表，评分过程根据每类的采集数量由得分从高到低选取并归类BC档。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Theme="majorEastAsia" w:hAnsiTheme="majorEastAsia" w:eastAsiaTheme="majorEastAsia" w:cstheme="majorEastAsia"/>
          <w:bCs/>
          <w:sz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hd w:val="clear" w:color="auto" w:fill="FFFFFF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bCs/>
          <w:sz w:val="24"/>
          <w:shd w:val="clear" w:color="auto" w:fill="FFFFFF"/>
        </w:rPr>
        <w:t>对于部分紧缺产品，并基本符合入库询价单位条件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Cs/>
          <w:sz w:val="24"/>
          <w:shd w:val="clear" w:color="auto" w:fill="FFFFFF"/>
        </w:rPr>
        <w:t>，但部分</w:t>
      </w:r>
      <w:r>
        <w:rPr>
          <w:rFonts w:hint="eastAsia" w:asciiTheme="majorEastAsia" w:hAnsiTheme="majorEastAsia" w:eastAsiaTheme="majorEastAsia" w:cstheme="majorEastAsia"/>
          <w:bCs/>
          <w:sz w:val="24"/>
        </w:rPr>
        <w:t>申报资料存在未完整情况的询价单位，采用低进严管的原则。可由初审小组评估先一律列进C档，并在后续补齐资料后按标准另行评定调整。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bCs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hd w:val="clear" w:color="auto" w:fill="FFFFFF"/>
          <w:lang w:val="en-US" w:eastAsia="zh-CN"/>
        </w:rPr>
        <w:t>4.复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shd w:val="clear" w:color="auto" w:fill="FFFFFF"/>
          <w:lang w:val="en-US" w:eastAsia="zh-CN"/>
        </w:rPr>
        <w:t>审验收细则，由技术专家组在集中审核前拟定，报请管理小组批准后实施。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Theme="majorEastAsia" w:hAnsiTheme="majorEastAsia" w:eastAsiaTheme="majorEastAsia" w:cstheme="majorEastAsia"/>
          <w:bCs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shd w:val="clear" w:color="auto" w:fill="FFFFFF"/>
          <w:lang w:val="en-US" w:eastAsia="zh-CN"/>
        </w:rPr>
        <w:t>5.各类材料设备评定档次所需具体参数、标准在后续工作中可根据需要进行增补和完善。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bCs/>
          <w:sz w:val="24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bCs/>
          <w:sz w:val="24"/>
          <w:shd w:val="clear" w:color="auto" w:fill="FFFFFF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湛江市建设工程材料设备询价单位数据库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询价单位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入库归档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综合审查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表</w:t>
      </w:r>
    </w:p>
    <w:p>
      <w:pPr>
        <w:pStyle w:val="2"/>
        <w:rPr>
          <w:rFonts w:hint="eastAsia"/>
        </w:rPr>
      </w:pPr>
    </w:p>
    <w:tbl>
      <w:tblPr>
        <w:tblStyle w:val="4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539"/>
        <w:gridCol w:w="615"/>
        <w:gridCol w:w="1799"/>
        <w:gridCol w:w="1799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8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材料类别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申报品牌</w:t>
            </w:r>
          </w:p>
        </w:tc>
        <w:tc>
          <w:tcPr>
            <w:tcW w:w="17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生产厂家</w:t>
            </w:r>
          </w:p>
        </w:tc>
        <w:tc>
          <w:tcPr>
            <w:tcW w:w="17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综合得分</w:t>
            </w:r>
          </w:p>
        </w:tc>
        <w:tc>
          <w:tcPr>
            <w:tcW w:w="22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初审归类档次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2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建议入库评</w:t>
            </w:r>
            <w:r>
              <w:rPr>
                <w:rFonts w:hint="eastAsia" w:ascii="宋体" w:hAnsi="宋体"/>
                <w:sz w:val="24"/>
                <w:lang w:eastAsia="zh-CN"/>
              </w:rPr>
              <w:t>定</w:t>
            </w:r>
            <w:r>
              <w:rPr>
                <w:rFonts w:hint="eastAsia" w:ascii="宋体" w:hAnsi="宋体"/>
                <w:sz w:val="24"/>
              </w:rPr>
              <w:t>方式</w:t>
            </w:r>
          </w:p>
        </w:tc>
        <w:tc>
          <w:tcPr>
            <w:tcW w:w="6461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□综合评估        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</w:trPr>
        <w:tc>
          <w:tcPr>
            <w:tcW w:w="22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本类材料建库后续问题及建议</w:t>
            </w:r>
          </w:p>
        </w:tc>
        <w:tc>
          <w:tcPr>
            <w:tcW w:w="6461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主要问题：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建议：</w:t>
            </w: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22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初审组意见</w:t>
            </w:r>
          </w:p>
        </w:tc>
        <w:tc>
          <w:tcPr>
            <w:tcW w:w="6461" w:type="dxa"/>
            <w:gridSpan w:val="4"/>
            <w:vAlign w:val="bottom"/>
          </w:tcPr>
          <w:p>
            <w:pPr>
              <w:wordWrap w:val="0"/>
              <w:adjustRightInd w:val="0"/>
              <w:snapToGrid w:val="0"/>
              <w:ind w:right="480"/>
              <w:rPr>
                <w:rFonts w:ascii="宋体" w:hAnsi="宋体"/>
                <w:sz w:val="24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签名及时间：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22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技术专家组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意见</w:t>
            </w:r>
          </w:p>
        </w:tc>
        <w:tc>
          <w:tcPr>
            <w:tcW w:w="646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签名及时间：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22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管理小组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意见</w:t>
            </w:r>
          </w:p>
        </w:tc>
        <w:tc>
          <w:tcPr>
            <w:tcW w:w="646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签名及时间：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湛江市建设工程材料设备询价单位数据库技术专家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验收评委会议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签到表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4"/>
        <w:tblpPr w:leftFromText="180" w:rightFromText="180" w:vertAnchor="page" w:horzAnchor="page" w:tblpX="1336" w:tblpY="3516"/>
        <w:tblW w:w="9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770"/>
        <w:gridCol w:w="3854"/>
        <w:gridCol w:w="1593"/>
        <w:gridCol w:w="914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4624" w:type="dxa"/>
            <w:gridSpan w:val="2"/>
            <w:noWrap w:val="0"/>
            <w:vAlign w:val="center"/>
          </w:tcPr>
          <w:p>
            <w:pPr>
              <w:spacing w:line="360" w:lineRule="auto"/>
              <w:ind w:right="-144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湛江市建设工程材料设备询价单位数据库</w:t>
            </w:r>
          </w:p>
          <w:p>
            <w:pPr>
              <w:spacing w:line="360" w:lineRule="auto"/>
              <w:ind w:right="-144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年第    季入库询价单位验收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复审验收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969" w:type="dxa"/>
            <w:gridSpan w:val="2"/>
            <w:noWrap w:val="0"/>
            <w:vAlign w:val="center"/>
          </w:tcPr>
          <w:p>
            <w:pPr>
              <w:spacing w:line="240" w:lineRule="atLeast"/>
              <w:ind w:firstLine="2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3854" w:type="dxa"/>
            <w:noWrap w:val="0"/>
            <w:vAlign w:val="center"/>
          </w:tcPr>
          <w:p>
            <w:pPr>
              <w:spacing w:line="240" w:lineRule="atLeast"/>
              <w:ind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 位 名 称</w:t>
            </w:r>
          </w:p>
        </w:tc>
        <w:tc>
          <w:tcPr>
            <w:tcW w:w="2507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 系 电 话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6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0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6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0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6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0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6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0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6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0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6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0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6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</w:p>
        </w:tc>
        <w:tc>
          <w:tcPr>
            <w:tcW w:w="38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0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6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0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6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0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6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0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6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0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6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0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湛江市建设工程材料设备询价单位数据库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技术专家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组组长推荐书</w:t>
      </w:r>
    </w:p>
    <w:p>
      <w:pPr>
        <w:pStyle w:val="2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pStyle w:val="2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湛江市建设工程材料设备询价单位数据库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季入库询价单位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评审验收会议的技术专家评委一致同意推荐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同志担任本次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评审技术专家组长。</w:t>
      </w:r>
    </w:p>
    <w:p>
      <w:pPr>
        <w:pStyle w:val="2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pStyle w:val="2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全体评委签名：</w:t>
      </w:r>
    </w:p>
    <w:p>
      <w:pPr>
        <w:pStyle w:val="2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pStyle w:val="2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jc w:val="righ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B71A5"/>
    <w:rsid w:val="04912125"/>
    <w:rsid w:val="07C21359"/>
    <w:rsid w:val="08BB6361"/>
    <w:rsid w:val="09AA20E4"/>
    <w:rsid w:val="0AE52983"/>
    <w:rsid w:val="0C851ECC"/>
    <w:rsid w:val="0D2B61F6"/>
    <w:rsid w:val="0E6067F4"/>
    <w:rsid w:val="11196DA5"/>
    <w:rsid w:val="18EA7736"/>
    <w:rsid w:val="1ABE728B"/>
    <w:rsid w:val="1C0B258C"/>
    <w:rsid w:val="1EA1221E"/>
    <w:rsid w:val="1EC46DFA"/>
    <w:rsid w:val="210F3FE8"/>
    <w:rsid w:val="24041CE5"/>
    <w:rsid w:val="2F766C98"/>
    <w:rsid w:val="33D51099"/>
    <w:rsid w:val="35840A08"/>
    <w:rsid w:val="35FF69AE"/>
    <w:rsid w:val="3AFA145D"/>
    <w:rsid w:val="3CBB64D3"/>
    <w:rsid w:val="40D70C80"/>
    <w:rsid w:val="41EA34DD"/>
    <w:rsid w:val="427F7DE2"/>
    <w:rsid w:val="42EF65BF"/>
    <w:rsid w:val="44206D09"/>
    <w:rsid w:val="44DF6D71"/>
    <w:rsid w:val="452E5689"/>
    <w:rsid w:val="48816143"/>
    <w:rsid w:val="4A101F1D"/>
    <w:rsid w:val="4AE23268"/>
    <w:rsid w:val="55430FA2"/>
    <w:rsid w:val="56252288"/>
    <w:rsid w:val="56EC35C9"/>
    <w:rsid w:val="5F306F06"/>
    <w:rsid w:val="62170BC9"/>
    <w:rsid w:val="70D90246"/>
    <w:rsid w:val="7329301F"/>
    <w:rsid w:val="773A0DC9"/>
    <w:rsid w:val="78AE10FE"/>
    <w:rsid w:val="7A4F6695"/>
    <w:rsid w:val="7AB07B19"/>
    <w:rsid w:val="7EBD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2021-09-15T02:24:00Z</dcterms:created>
  <dc:creator>Administrator</dc:creator>
  <cp:lastModifiedBy>冬の煦</cp:lastModifiedBy>
  <dcterms:modified xsi:type="dcterms:W3CDTF">2021-10-01T01:53:09Z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EC0B1E76C22E40D483C50BC35A4455AB</vt:lpwstr>
  </property>
</Properties>
</file>